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1B789434"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ED01C0">
        <w:rPr>
          <w:bCs/>
          <w:sz w:val="22"/>
          <w:szCs w:val="22"/>
          <w:lang w:val="lv-LV"/>
        </w:rPr>
        <w:t>04.06.2024</w:t>
      </w:r>
      <w:r w:rsidRPr="00ED01C0">
        <w:rPr>
          <w:bCs/>
          <w:sz w:val="22"/>
          <w:szCs w:val="22"/>
          <w:lang w:val="lv-LV"/>
        </w:rPr>
        <w:t>.</w:t>
      </w:r>
    </w:p>
    <w:p w14:paraId="3CAA1DAA" w14:textId="303EC447"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ED01C0">
        <w:rPr>
          <w:sz w:val="22"/>
          <w:szCs w:val="22"/>
          <w:lang w:val="lv-LV"/>
        </w:rPr>
        <w:t>20</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77777777" w:rsidR="00307CA8" w:rsidRPr="00170986" w:rsidRDefault="00307CA8" w:rsidP="00307CA8">
      <w:pPr>
        <w:jc w:val="center"/>
        <w:rPr>
          <w:lang w:val="lv-LV"/>
        </w:rPr>
      </w:pPr>
      <w:r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4CB65BD0"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87105E" w:rsidRPr="00091C2E">
        <w:rPr>
          <w:lang w:val="lv-LV"/>
        </w:rPr>
        <w:t>Traktora piekabe (</w:t>
      </w:r>
      <w:proofErr w:type="spellStart"/>
      <w:r w:rsidR="0087105E" w:rsidRPr="00091C2E">
        <w:rPr>
          <w:lang w:val="lv-LV"/>
        </w:rPr>
        <w:t>pusuzkarinām</w:t>
      </w:r>
      <w:r w:rsidR="00BA21F3">
        <w:rPr>
          <w:lang w:val="lv-LV"/>
        </w:rPr>
        <w:t>a</w:t>
      </w:r>
      <w:proofErr w:type="spellEnd"/>
      <w:r w:rsidR="00BA21F3">
        <w:rPr>
          <w:lang w:val="lv-LV"/>
        </w:rPr>
        <w:t xml:space="preserve"> kravas kaste</w:t>
      </w:r>
      <w:r w:rsidR="0087105E" w:rsidRPr="00091C2E">
        <w:rPr>
          <w:lang w:val="lv-LV"/>
        </w:rPr>
        <w:t>)</w:t>
      </w:r>
      <w:r w:rsidR="00BA21F3">
        <w:rPr>
          <w:lang w:val="lv-LV"/>
        </w:rPr>
        <w:t xml:space="preserve"> PRG TD-5</w:t>
      </w:r>
      <w:r w:rsidRPr="00091C2E">
        <w:rPr>
          <w:lang w:val="lv-LV"/>
        </w:rPr>
        <w:t>,</w:t>
      </w:r>
      <w:r w:rsidR="00091C2E" w:rsidRPr="00091C2E">
        <w:rPr>
          <w:lang w:val="lv-LV"/>
        </w:rPr>
        <w:t xml:space="preserve"> </w:t>
      </w:r>
      <w:r w:rsidRPr="00091C2E">
        <w:rPr>
          <w:lang w:val="lv-LV"/>
        </w:rPr>
        <w:t>valsts reģistrācijas Nr.</w:t>
      </w:r>
      <w:r w:rsidR="0087105E" w:rsidRPr="00091C2E">
        <w:rPr>
          <w:lang w:val="lv-LV"/>
        </w:rPr>
        <w:t>P94</w:t>
      </w:r>
      <w:r w:rsidR="00BA21F3">
        <w:rPr>
          <w:lang w:val="lv-LV"/>
        </w:rPr>
        <w:t>36</w:t>
      </w:r>
      <w:r w:rsidR="0087105E" w:rsidRPr="00091C2E">
        <w:rPr>
          <w:lang w:val="lv-LV"/>
        </w:rPr>
        <w:t>LK</w:t>
      </w:r>
      <w:r w:rsidR="003B6D49" w:rsidRPr="00091C2E">
        <w:rPr>
          <w:bCs/>
          <w:lang w:val="lv-LV"/>
        </w:rPr>
        <w:t>,</w:t>
      </w:r>
      <w:r w:rsidR="003B6D49">
        <w:rPr>
          <w:bCs/>
          <w:lang w:val="lv-LV"/>
        </w:rPr>
        <w:t xml:space="preserve"> izlaiduma gads 19</w:t>
      </w:r>
      <w:r w:rsidR="00BA21F3">
        <w:rPr>
          <w:bCs/>
          <w:lang w:val="lv-LV"/>
        </w:rPr>
        <w:t>91</w:t>
      </w:r>
      <w:r w:rsidR="003B6D49">
        <w:rPr>
          <w:bCs/>
          <w:lang w:val="lv-LV"/>
        </w:rPr>
        <w:t>,</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13AA9F42" w:rsidR="00307CA8" w:rsidRPr="00170986" w:rsidRDefault="00307CA8" w:rsidP="00307CA8">
      <w:pPr>
        <w:jc w:val="both"/>
        <w:rPr>
          <w:lang w:val="lv-LV"/>
        </w:rPr>
      </w:pPr>
      <w:r w:rsidRPr="00091C2E">
        <w:rPr>
          <w:b/>
          <w:bCs/>
          <w:lang w:val="lv-LV"/>
        </w:rPr>
        <w:t xml:space="preserve">Mantas izsoles sākumcena ir EUR </w:t>
      </w:r>
      <w:r w:rsidR="00BA21F3">
        <w:rPr>
          <w:b/>
          <w:bCs/>
          <w:lang w:val="lv-LV"/>
        </w:rPr>
        <w:t>400</w:t>
      </w:r>
      <w:r w:rsidRPr="00091C2E">
        <w:rPr>
          <w:b/>
          <w:bCs/>
          <w:lang w:val="lv-LV"/>
        </w:rPr>
        <w:t>,00</w:t>
      </w:r>
      <w:r w:rsidRPr="00170986">
        <w:rPr>
          <w:lang w:val="lv-LV"/>
        </w:rPr>
        <w:t xml:space="preserve"> (</w:t>
      </w:r>
      <w:r w:rsidR="00BA21F3">
        <w:rPr>
          <w:lang w:val="lv-LV"/>
        </w:rPr>
        <w:t>četri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w:t>
      </w:r>
      <w:r w:rsidR="00BA21F3">
        <w:rPr>
          <w:lang w:val="lv-LV"/>
        </w:rPr>
        <w:t>20</w:t>
      </w:r>
      <w:r w:rsidR="00755D35">
        <w:rPr>
          <w:lang w:val="lv-LV"/>
        </w:rPr>
        <w:t>.00 (</w:t>
      </w:r>
      <w:r w:rsidR="00BA21F3">
        <w:rPr>
          <w:lang w:val="lv-LV"/>
        </w:rPr>
        <w:t>divdesmit</w:t>
      </w:r>
      <w:r w:rsidR="00755D35">
        <w:rPr>
          <w:lang w:val="lv-LV"/>
        </w:rPr>
        <w:t xml:space="preserve">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6C667AEF"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BA21F3">
        <w:rPr>
          <w:b/>
          <w:bCs/>
          <w:lang w:val="lv-LV"/>
        </w:rPr>
        <w:t>40</w:t>
      </w:r>
      <w:r w:rsidRPr="00091C2E">
        <w:rPr>
          <w:b/>
          <w:bCs/>
          <w:lang w:val="lv-LV"/>
        </w:rPr>
        <w:t>,00 (</w:t>
      </w:r>
      <w:r w:rsidR="00BA21F3">
        <w:rPr>
          <w:b/>
          <w:bCs/>
          <w:lang w:val="lv-LV"/>
        </w:rPr>
        <w:t>četrdesmit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w:t>
      </w:r>
      <w:r w:rsidR="00BA21F3">
        <w:rPr>
          <w:b/>
          <w:bCs/>
          <w:lang w:val="lv-LV"/>
        </w:rPr>
        <w:t>36</w:t>
      </w:r>
      <w:r w:rsidR="002C44E5" w:rsidRPr="00091C2E">
        <w:rPr>
          <w:b/>
          <w:bCs/>
          <w:lang w:val="lv-LV"/>
        </w:rPr>
        <w:t>LK</w:t>
      </w:r>
      <w:r w:rsidRPr="00091C2E">
        <w:rPr>
          <w:b/>
          <w:bCs/>
          <w:lang w:val="lv-LV"/>
        </w:rPr>
        <w:t xml:space="preserve"> 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655916D5"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091C2E" w:rsidRPr="00091C2E">
        <w:rPr>
          <w:b/>
          <w:bCs/>
          <w:lang w:val="lv-LV"/>
        </w:rPr>
        <w:t>26.jūnijā</w:t>
      </w:r>
      <w:r w:rsidRPr="00091C2E">
        <w:rPr>
          <w:b/>
          <w:bCs/>
          <w:lang w:val="lv-LV"/>
        </w:rPr>
        <w:t xml:space="preserve">, </w:t>
      </w:r>
      <w:r w:rsidRPr="00091C2E">
        <w:rPr>
          <w:b/>
          <w:bCs/>
          <w:iCs/>
          <w:lang w:val="lv-LV"/>
        </w:rPr>
        <w:t>plkst.1</w:t>
      </w:r>
      <w:r w:rsidR="00BA21F3">
        <w:rPr>
          <w:b/>
          <w:bCs/>
          <w:iCs/>
          <w:lang w:val="lv-LV"/>
        </w:rPr>
        <w:t>1</w:t>
      </w:r>
      <w:r w:rsidRPr="00091C2E">
        <w:rPr>
          <w:b/>
          <w:bCs/>
          <w:iCs/>
          <w:lang w:val="lv-LV"/>
        </w:rPr>
        <w:t>.</w:t>
      </w:r>
      <w:r w:rsidR="00BA21F3">
        <w:rPr>
          <w:b/>
          <w:bCs/>
          <w:iCs/>
          <w:lang w:val="lv-LV"/>
        </w:rPr>
        <w:t>3</w:t>
      </w:r>
      <w:r w:rsidRPr="00091C2E">
        <w:rPr>
          <w:b/>
          <w:bCs/>
          <w:iCs/>
          <w:lang w:val="lv-LV"/>
        </w:rPr>
        <w:t>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7CEA0414"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091C2E" w:rsidRPr="00091C2E">
        <w:rPr>
          <w:b/>
          <w:bCs/>
          <w:lang w:val="lv-LV"/>
        </w:rPr>
        <w:t>25.jūnija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6A829F6A"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BA21F3">
        <w:t>20</w:t>
      </w:r>
      <w:r w:rsidRPr="00A02130">
        <w:t>,00 (</w:t>
      </w:r>
      <w:r w:rsidR="00BA21F3">
        <w:t>divdesmit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9D1C9" w14:textId="77777777" w:rsidR="004D38B7" w:rsidRDefault="004D38B7">
      <w:r>
        <w:separator/>
      </w:r>
    </w:p>
  </w:endnote>
  <w:endnote w:type="continuationSeparator" w:id="0">
    <w:p w14:paraId="50AD5AED" w14:textId="77777777" w:rsidR="004D38B7" w:rsidRDefault="004D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EAECF" w14:textId="77777777" w:rsidR="004D38B7" w:rsidRDefault="004D38B7">
      <w:r>
        <w:separator/>
      </w:r>
    </w:p>
  </w:footnote>
  <w:footnote w:type="continuationSeparator" w:id="0">
    <w:p w14:paraId="34E951CA" w14:textId="77777777" w:rsidR="004D38B7" w:rsidRDefault="004D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86573"/>
    <w:rsid w:val="00091C2E"/>
    <w:rsid w:val="0018655D"/>
    <w:rsid w:val="002C44E5"/>
    <w:rsid w:val="00307CA8"/>
    <w:rsid w:val="003B6D49"/>
    <w:rsid w:val="00461416"/>
    <w:rsid w:val="004932B7"/>
    <w:rsid w:val="004D010C"/>
    <w:rsid w:val="004D38B7"/>
    <w:rsid w:val="004E7F68"/>
    <w:rsid w:val="006435CC"/>
    <w:rsid w:val="00755D35"/>
    <w:rsid w:val="0087105E"/>
    <w:rsid w:val="00A02130"/>
    <w:rsid w:val="00B34A04"/>
    <w:rsid w:val="00B60C75"/>
    <w:rsid w:val="00B96DFF"/>
    <w:rsid w:val="00BA21F3"/>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6164</Words>
  <Characters>3515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2024-06-04T11:11:00Z</cp:lastPrinted>
  <dcterms:created xsi:type="dcterms:W3CDTF">2024-06-04T11:12:00Z</dcterms:created>
  <dcterms:modified xsi:type="dcterms:W3CDTF">2024-06-04T11:12:00Z</dcterms:modified>
</cp:coreProperties>
</file>