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ABEE5" w14:textId="77777777" w:rsidR="004A06FC" w:rsidRDefault="004A06FC" w:rsidP="00D207A6"/>
    <w:p w14:paraId="52FF7637" w14:textId="53C90CBE"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00208984" w:rsidR="00972055" w:rsidRDefault="00D207A6" w:rsidP="00972055">
      <w:pPr>
        <w:jc w:val="right"/>
      </w:pPr>
      <w:r>
        <w:t>18.12.2025</w:t>
      </w:r>
      <w:r w:rsidR="008B4B52">
        <w:t>.</w:t>
      </w:r>
      <w:r w:rsidR="00972055">
        <w:t xml:space="preserve"> lēmumam Nr</w:t>
      </w:r>
      <w:r w:rsidR="008B4B52">
        <w:t>.</w:t>
      </w:r>
      <w:r>
        <w:t>1370</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43528C10" w14:textId="43B44D4E" w:rsidR="00972055" w:rsidRDefault="00972055" w:rsidP="00FA39BE">
      <w:pPr>
        <w:jc w:val="center"/>
        <w:rPr>
          <w:b/>
        </w:rPr>
      </w:pPr>
      <w:r>
        <w:rPr>
          <w:b/>
        </w:rPr>
        <w:t xml:space="preserve"> </w:t>
      </w:r>
      <w:r w:rsidR="00606F71">
        <w:rPr>
          <w:b/>
        </w:rPr>
        <w:t>RĒZEKNES IELA 18A, DAGDA</w:t>
      </w:r>
      <w:r w:rsidRPr="00FA39BE">
        <w:rPr>
          <w:b/>
          <w:bCs/>
        </w:rPr>
        <w:t>,</w:t>
      </w:r>
      <w:r>
        <w:rPr>
          <w:b/>
        </w:rPr>
        <w:t xml:space="preserve"> KRĀSLAVAS</w:t>
      </w:r>
      <w:r w:rsidR="00FA39BE">
        <w:rPr>
          <w:b/>
        </w:rPr>
        <w:t xml:space="preserve"> </w:t>
      </w:r>
      <w:r>
        <w:rPr>
          <w:b/>
        </w:rPr>
        <w:t>NOVADS,</w:t>
      </w:r>
      <w:r w:rsidR="00FA39BE">
        <w:rPr>
          <w:b/>
        </w:rPr>
        <w:t xml:space="preserve"> </w:t>
      </w: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32CD909E" w:rsidR="00972055" w:rsidRPr="00DA3266"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 xml:space="preserve">Krāslavas novada pašvaldībai (turpmāk – pašvaldība) piederošais nekustamais </w:t>
      </w:r>
      <w:r w:rsidRPr="00A86805">
        <w:rPr>
          <w:rFonts w:ascii="Times New Roman" w:eastAsia="Times New Roman" w:hAnsi="Times New Roman"/>
          <w:sz w:val="24"/>
          <w:szCs w:val="24"/>
        </w:rPr>
        <w:t>īpašums</w:t>
      </w:r>
      <w:r w:rsidRPr="00A86805">
        <w:rPr>
          <w:rFonts w:ascii="Times New Roman" w:hAnsi="Times New Roman"/>
          <w:sz w:val="24"/>
          <w:szCs w:val="24"/>
          <w:shd w:val="clear" w:color="auto" w:fill="FFFFFF"/>
        </w:rPr>
        <w:t xml:space="preserve"> </w:t>
      </w:r>
      <w:r w:rsidR="00606F71">
        <w:rPr>
          <w:rFonts w:ascii="Times New Roman" w:hAnsi="Times New Roman"/>
          <w:sz w:val="24"/>
          <w:szCs w:val="24"/>
          <w:shd w:val="clear" w:color="auto" w:fill="FFFFFF"/>
        </w:rPr>
        <w:t>Dagdā</w:t>
      </w:r>
      <w:r w:rsidR="00785E56" w:rsidRPr="00DA3266">
        <w:rPr>
          <w:rFonts w:ascii="Times New Roman" w:hAnsi="Times New Roman"/>
          <w:sz w:val="24"/>
          <w:szCs w:val="24"/>
        </w:rPr>
        <w:t xml:space="preserve">, kadastra numurs </w:t>
      </w:r>
      <w:r w:rsidR="00606F71">
        <w:rPr>
          <w:rFonts w:ascii="Times New Roman" w:hAnsi="Times New Roman"/>
          <w:sz w:val="24"/>
          <w:szCs w:val="24"/>
        </w:rPr>
        <w:t>6009 002 0470</w:t>
      </w:r>
      <w:r w:rsidR="00DA3266" w:rsidRPr="00DA3266">
        <w:rPr>
          <w:rFonts w:ascii="Times New Roman" w:hAnsi="Times New Roman"/>
          <w:sz w:val="24"/>
          <w:szCs w:val="24"/>
        </w:rPr>
        <w:t>, kas sastāv no zemes vien</w:t>
      </w:r>
      <w:r w:rsidR="00DA3266" w:rsidRPr="00DA3266">
        <w:rPr>
          <w:rFonts w:ascii="Times New Roman" w:hAnsi="Times New Roman"/>
          <w:color w:val="000000" w:themeColor="text1"/>
          <w:sz w:val="24"/>
          <w:szCs w:val="24"/>
        </w:rPr>
        <w:t>ības</w:t>
      </w:r>
      <w:r w:rsidR="00DA3266" w:rsidRPr="00DA3266">
        <w:rPr>
          <w:rFonts w:ascii="Times New Roman" w:hAnsi="Times New Roman"/>
          <w:color w:val="EE0000"/>
          <w:sz w:val="24"/>
          <w:szCs w:val="24"/>
        </w:rPr>
        <w:t xml:space="preserve"> </w:t>
      </w:r>
      <w:r w:rsidR="00C420DC">
        <w:rPr>
          <w:rFonts w:ascii="Times New Roman" w:hAnsi="Times New Roman"/>
          <w:sz w:val="24"/>
          <w:szCs w:val="24"/>
        </w:rPr>
        <w:t xml:space="preserve"> 0,</w:t>
      </w:r>
      <w:r w:rsidR="00606F71">
        <w:rPr>
          <w:rFonts w:ascii="Times New Roman" w:hAnsi="Times New Roman"/>
          <w:sz w:val="24"/>
          <w:szCs w:val="24"/>
        </w:rPr>
        <w:t>0809</w:t>
      </w:r>
      <w:r w:rsidR="00DA3266" w:rsidRPr="00DA3266">
        <w:rPr>
          <w:rFonts w:ascii="Times New Roman" w:hAnsi="Times New Roman"/>
          <w:sz w:val="24"/>
          <w:szCs w:val="24"/>
        </w:rPr>
        <w:t xml:space="preserve"> ha platībā ar kadastra apzīmējumu </w:t>
      </w:r>
      <w:r w:rsidR="00606F71">
        <w:rPr>
          <w:rFonts w:ascii="Times New Roman" w:hAnsi="Times New Roman"/>
          <w:sz w:val="24"/>
          <w:szCs w:val="24"/>
        </w:rPr>
        <w:t>60090020470</w:t>
      </w:r>
      <w:r w:rsidRPr="00DA3266">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612EB9DD"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w:t>
      </w:r>
      <w:r w:rsidRPr="00537DB9">
        <w:rPr>
          <w:rFonts w:ascii="Times New Roman" w:hAnsi="Times New Roman"/>
          <w:color w:val="000000" w:themeColor="text1"/>
          <w:sz w:val="24"/>
          <w:szCs w:val="24"/>
        </w:rPr>
        <w:t>izsoles</w:t>
      </w:r>
      <w:r w:rsidR="00C22365">
        <w:rPr>
          <w:rFonts w:ascii="Times New Roman" w:hAnsi="Times New Roman"/>
          <w:color w:val="000000" w:themeColor="text1"/>
          <w:sz w:val="24"/>
          <w:szCs w:val="24"/>
        </w:rPr>
        <w:t xml:space="preserve"> sākumcena ir</w:t>
      </w:r>
      <w:r w:rsidRPr="00537DB9">
        <w:rPr>
          <w:rFonts w:ascii="Times New Roman" w:hAnsi="Times New Roman"/>
          <w:color w:val="000000" w:themeColor="text1"/>
          <w:sz w:val="24"/>
          <w:szCs w:val="24"/>
        </w:rPr>
        <w:t xml:space="preserve"> </w:t>
      </w:r>
      <w:r w:rsidR="00606F71">
        <w:rPr>
          <w:rFonts w:ascii="Times New Roman" w:hAnsi="Times New Roman"/>
          <w:sz w:val="24"/>
          <w:szCs w:val="24"/>
        </w:rPr>
        <w:t>7</w:t>
      </w:r>
      <w:r w:rsidR="00DA3266" w:rsidRPr="00DA3266">
        <w:rPr>
          <w:rFonts w:ascii="Times New Roman" w:hAnsi="Times New Roman"/>
          <w:sz w:val="24"/>
          <w:szCs w:val="24"/>
        </w:rPr>
        <w:t xml:space="preserve">00,00 </w:t>
      </w:r>
      <w:r w:rsidR="00DA3266" w:rsidRPr="00DA3266">
        <w:rPr>
          <w:rFonts w:ascii="Times New Roman" w:hAnsi="Times New Roman"/>
          <w:color w:val="000000" w:themeColor="text1"/>
          <w:sz w:val="24"/>
          <w:szCs w:val="24"/>
        </w:rPr>
        <w:t>EURO (</w:t>
      </w:r>
      <w:r w:rsidR="00606F71">
        <w:rPr>
          <w:rFonts w:ascii="Times New Roman" w:hAnsi="Times New Roman"/>
          <w:sz w:val="24"/>
          <w:szCs w:val="24"/>
        </w:rPr>
        <w:t>septiņi</w:t>
      </w:r>
      <w:r w:rsidR="00C420DC">
        <w:rPr>
          <w:rFonts w:ascii="Times New Roman" w:hAnsi="Times New Roman"/>
          <w:sz w:val="24"/>
          <w:szCs w:val="24"/>
        </w:rPr>
        <w:t xml:space="preserve"> </w:t>
      </w:r>
      <w:r w:rsidR="00DA3266" w:rsidRPr="00DA3266">
        <w:rPr>
          <w:rFonts w:ascii="Times New Roman" w:hAnsi="Times New Roman"/>
          <w:sz w:val="24"/>
          <w:szCs w:val="24"/>
        </w:rPr>
        <w:t xml:space="preserve">simti  </w:t>
      </w:r>
      <w:proofErr w:type="spellStart"/>
      <w:r w:rsidR="00DA3266" w:rsidRPr="00DA3266">
        <w:rPr>
          <w:rFonts w:ascii="Times New Roman" w:hAnsi="Times New Roman"/>
          <w:i/>
          <w:iCs/>
          <w:sz w:val="24"/>
          <w:szCs w:val="24"/>
        </w:rPr>
        <w:t>euro</w:t>
      </w:r>
      <w:proofErr w:type="spellEnd"/>
      <w:r w:rsidR="00DA3266" w:rsidRPr="00DA3266">
        <w:rPr>
          <w:rFonts w:ascii="Times New Roman" w:hAnsi="Times New Roman"/>
          <w:color w:val="000000" w:themeColor="text1"/>
          <w:sz w:val="24"/>
          <w:szCs w:val="24"/>
        </w:rPr>
        <w:t>)</w:t>
      </w:r>
      <w:r w:rsidRPr="00DA3266">
        <w:rPr>
          <w:rFonts w:ascii="Times New Roman" w:hAnsi="Times New Roman"/>
          <w:color w:val="000000" w:themeColor="text1"/>
          <w:sz w:val="24"/>
          <w:szCs w:val="24"/>
        </w:rPr>
        <w:t>. Izsoles solis notei</w:t>
      </w:r>
      <w:r w:rsidRPr="0042604A">
        <w:rPr>
          <w:rFonts w:ascii="Times New Roman" w:hAnsi="Times New Roman"/>
          <w:color w:val="000000" w:themeColor="text1"/>
          <w:sz w:val="24"/>
          <w:szCs w:val="24"/>
        </w:rPr>
        <w:t xml:space="preserve">kts </w:t>
      </w:r>
      <w:r w:rsidR="000A4641">
        <w:rPr>
          <w:rFonts w:ascii="Times New Roman" w:hAnsi="Times New Roman"/>
          <w:b/>
          <w:color w:val="000000" w:themeColor="text1"/>
          <w:sz w:val="24"/>
          <w:szCs w:val="24"/>
        </w:rPr>
        <w:t>1</w:t>
      </w:r>
      <w:r w:rsidRPr="0042604A">
        <w:rPr>
          <w:rFonts w:ascii="Times New Roman" w:hAnsi="Times New Roman"/>
          <w:b/>
          <w:color w:val="000000" w:themeColor="text1"/>
          <w:sz w:val="24"/>
          <w:szCs w:val="24"/>
        </w:rPr>
        <w:t>0</w:t>
      </w:r>
      <w:r w:rsidR="00785E56">
        <w:rPr>
          <w:rFonts w:ascii="Times New Roman" w:hAnsi="Times New Roman"/>
          <w:b/>
          <w:color w:val="000000" w:themeColor="text1"/>
          <w:sz w:val="24"/>
          <w:szCs w:val="24"/>
        </w:rPr>
        <w:t>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 xml:space="preserve">viens </w:t>
      </w:r>
      <w:r w:rsidR="00C420DC">
        <w:rPr>
          <w:rFonts w:ascii="Times New Roman" w:hAnsi="Times New Roman"/>
          <w:color w:val="000000" w:themeColor="text1"/>
          <w:sz w:val="24"/>
          <w:szCs w:val="24"/>
        </w:rPr>
        <w:t>simts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363D3D1F" w:rsidR="00972055" w:rsidRPr="00C420DC" w:rsidRDefault="00972055" w:rsidP="00972055">
      <w:pPr>
        <w:pStyle w:val="Sarakstarindkopa"/>
        <w:numPr>
          <w:ilvl w:val="0"/>
          <w:numId w:val="2"/>
        </w:numPr>
        <w:tabs>
          <w:tab w:val="left" w:pos="567"/>
        </w:tabs>
        <w:ind w:left="567" w:hanging="567"/>
        <w:jc w:val="both"/>
        <w:rPr>
          <w:rFonts w:ascii="Times New Roman" w:eastAsia="Times New Roman" w:hAnsi="Times New Roman"/>
          <w:color w:val="EE0000"/>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606F71">
        <w:rPr>
          <w:rFonts w:ascii="Times New Roman" w:hAnsi="Times New Roman"/>
          <w:b/>
          <w:bCs/>
          <w:color w:val="000000" w:themeColor="text1"/>
          <w:sz w:val="24"/>
          <w:szCs w:val="24"/>
        </w:rPr>
        <w:t>7</w:t>
      </w:r>
      <w:r w:rsidR="00C420DC">
        <w:rPr>
          <w:rFonts w:ascii="Times New Roman" w:hAnsi="Times New Roman"/>
          <w:b/>
          <w:bCs/>
          <w:color w:val="000000" w:themeColor="text1"/>
          <w:sz w:val="24"/>
          <w:szCs w:val="24"/>
        </w:rPr>
        <w:t>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606F71">
        <w:rPr>
          <w:rFonts w:ascii="Times New Roman" w:hAnsi="Times New Roman"/>
          <w:color w:val="000000" w:themeColor="text1"/>
          <w:sz w:val="24"/>
          <w:szCs w:val="24"/>
        </w:rPr>
        <w:t>septiņdesmit</w:t>
      </w:r>
      <w:r w:rsidRPr="0042604A">
        <w:rPr>
          <w:rFonts w:ascii="Times New Roman" w:hAnsi="Times New Roman"/>
          <w:color w:val="000000" w:themeColor="text1"/>
          <w:sz w:val="24"/>
          <w:szCs w:val="24"/>
        </w:rPr>
        <w:t xml:space="preserve"> </w:t>
      </w:r>
      <w:proofErr w:type="spellStart"/>
      <w:r w:rsidRPr="006A42E3">
        <w:rPr>
          <w:rFonts w:ascii="Times New Roman" w:hAnsi="Times New Roman"/>
          <w:i/>
          <w:iCs/>
          <w:color w:val="000000" w:themeColor="text1"/>
          <w:sz w:val="24"/>
          <w:szCs w:val="24"/>
        </w:rPr>
        <w:t>euro</w:t>
      </w:r>
      <w:proofErr w:type="spellEnd"/>
      <w:r w:rsidRPr="0042604A">
        <w:rPr>
          <w:rFonts w:ascii="Times New Roman" w:hAnsi="Times New Roman"/>
          <w:color w:val="000000" w:themeColor="text1"/>
          <w:sz w:val="24"/>
          <w:szCs w:val="24"/>
        </w:rPr>
        <w:t xml:space="preserve">) no izsoles sākuma datuma 20 (divdesmit) dienu laikā izsoles dalībniekam jāpārskaita Krāslavas novada pašvaldības Dagdas pilsētas un pagastu </w:t>
      </w:r>
      <w:r w:rsidRPr="00B3563C">
        <w:rPr>
          <w:rFonts w:ascii="Times New Roman" w:hAnsi="Times New Roman"/>
          <w:color w:val="000000" w:themeColor="text1"/>
          <w:sz w:val="24"/>
          <w:szCs w:val="24"/>
        </w:rPr>
        <w:t>apvienībai</w:t>
      </w:r>
      <w:r w:rsidRPr="00B3563C">
        <w:rPr>
          <w:rFonts w:ascii="Times New Roman" w:hAnsi="Times New Roman"/>
          <w:color w:val="000000" w:themeColor="text1"/>
          <w:sz w:val="24"/>
          <w:szCs w:val="24"/>
          <w:lang w:eastAsia="lv-LV"/>
        </w:rPr>
        <w:t xml:space="preserve"> (</w:t>
      </w:r>
      <w:proofErr w:type="spellStart"/>
      <w:r w:rsidRPr="00B3563C">
        <w:rPr>
          <w:rFonts w:ascii="Times New Roman" w:hAnsi="Times New Roman"/>
          <w:color w:val="000000" w:themeColor="text1"/>
          <w:sz w:val="24"/>
          <w:szCs w:val="24"/>
          <w:lang w:eastAsia="lv-LV"/>
        </w:rPr>
        <w:t>reģ.Nr</w:t>
      </w:r>
      <w:proofErr w:type="spellEnd"/>
      <w:r w:rsidRPr="00B3563C">
        <w:rPr>
          <w:rFonts w:ascii="Times New Roman" w:hAnsi="Times New Roman"/>
          <w:color w:val="000000" w:themeColor="text1"/>
          <w:sz w:val="24"/>
          <w:szCs w:val="24"/>
          <w:lang w:eastAsia="lv-LV"/>
        </w:rPr>
        <w:t>.</w:t>
      </w:r>
      <w:r w:rsidRPr="00B3563C">
        <w:rPr>
          <w:rFonts w:ascii="Times New Roman" w:hAnsi="Times New Roman"/>
          <w:color w:val="000000" w:themeColor="text1"/>
          <w:w w:val="105"/>
          <w:sz w:val="24"/>
          <w:szCs w:val="24"/>
        </w:rPr>
        <w:t xml:space="preserve"> 50900036651</w:t>
      </w:r>
      <w:r w:rsidRPr="00B3563C">
        <w:rPr>
          <w:rFonts w:ascii="Times New Roman" w:hAnsi="Times New Roman"/>
          <w:color w:val="000000" w:themeColor="text1"/>
          <w:sz w:val="24"/>
          <w:szCs w:val="24"/>
          <w:lang w:eastAsia="lv-LV"/>
        </w:rPr>
        <w:t xml:space="preserve">, Alejas iela 4, Dagda, Krāslavas novads, konts: </w:t>
      </w:r>
      <w:r w:rsidRPr="00B3563C">
        <w:rPr>
          <w:rFonts w:ascii="Times New Roman" w:hAnsi="Times New Roman"/>
          <w:color w:val="000000" w:themeColor="text1"/>
          <w:sz w:val="24"/>
          <w:szCs w:val="24"/>
        </w:rPr>
        <w:t>LV</w:t>
      </w:r>
      <w:r w:rsidR="00B3563C" w:rsidRPr="00B3563C">
        <w:rPr>
          <w:rFonts w:ascii="Times New Roman" w:hAnsi="Times New Roman"/>
          <w:color w:val="000000" w:themeColor="text1"/>
          <w:sz w:val="24"/>
          <w:szCs w:val="24"/>
        </w:rPr>
        <w:t>85TREL981949800700B</w:t>
      </w:r>
      <w:r w:rsidRPr="00B3563C">
        <w:rPr>
          <w:rFonts w:ascii="Times New Roman" w:hAnsi="Times New Roman"/>
          <w:color w:val="000000" w:themeColor="text1"/>
          <w:sz w:val="24"/>
          <w:szCs w:val="24"/>
          <w:lang w:eastAsia="lv-LV"/>
        </w:rPr>
        <w:t xml:space="preserve">, </w:t>
      </w:r>
      <w:r w:rsidR="00B3563C" w:rsidRPr="00B3563C">
        <w:rPr>
          <w:rFonts w:ascii="Times New Roman" w:hAnsi="Times New Roman"/>
          <w:color w:val="000000" w:themeColor="text1"/>
          <w:sz w:val="24"/>
          <w:szCs w:val="24"/>
          <w:lang w:eastAsia="lv-LV"/>
        </w:rPr>
        <w:t>Valsts kase</w:t>
      </w:r>
      <w:r w:rsidRPr="00B3563C">
        <w:rPr>
          <w:rFonts w:ascii="Times New Roman" w:hAnsi="Times New Roman"/>
          <w:color w:val="000000" w:themeColor="text1"/>
          <w:sz w:val="24"/>
          <w:szCs w:val="24"/>
          <w:lang w:eastAsia="lv-LV"/>
        </w:rPr>
        <w:t xml:space="preserve">, kods </w:t>
      </w:r>
      <w:r w:rsidR="00B3563C" w:rsidRPr="00B3563C">
        <w:rPr>
          <w:rFonts w:ascii="Times New Roman" w:hAnsi="Times New Roman"/>
          <w:color w:val="000000" w:themeColor="text1"/>
          <w:sz w:val="24"/>
          <w:szCs w:val="24"/>
          <w:lang w:eastAsia="lv-LV"/>
        </w:rPr>
        <w:t>TRELLV22XXX</w:t>
      </w:r>
      <w:r w:rsidRPr="00B3563C">
        <w:rPr>
          <w:rFonts w:ascii="Times New Roman" w:hAnsi="Times New Roman"/>
          <w:color w:val="000000" w:themeColor="text1"/>
          <w:sz w:val="24"/>
          <w:szCs w:val="24"/>
          <w:lang w:eastAsia="lv-LV"/>
        </w:rPr>
        <w:t xml:space="preserve">) ar norādi “Nekustamā īpašuma </w:t>
      </w:r>
      <w:r w:rsidR="00606F71">
        <w:rPr>
          <w:rFonts w:ascii="Times New Roman" w:hAnsi="Times New Roman"/>
          <w:color w:val="000000" w:themeColor="text1"/>
          <w:sz w:val="24"/>
          <w:szCs w:val="24"/>
        </w:rPr>
        <w:t>Rēzeknes iela 18A</w:t>
      </w:r>
      <w:r w:rsidR="00DA3266" w:rsidRPr="00B3563C">
        <w:rPr>
          <w:rFonts w:ascii="Times New Roman" w:hAnsi="Times New Roman"/>
          <w:color w:val="000000" w:themeColor="text1"/>
          <w:sz w:val="24"/>
          <w:szCs w:val="24"/>
        </w:rPr>
        <w:t xml:space="preserve">, </w:t>
      </w:r>
      <w:r w:rsidR="00606F71">
        <w:rPr>
          <w:rFonts w:ascii="Times New Roman" w:hAnsi="Times New Roman"/>
          <w:color w:val="000000" w:themeColor="text1"/>
          <w:sz w:val="24"/>
          <w:szCs w:val="24"/>
        </w:rPr>
        <w:t>Dagda</w:t>
      </w:r>
      <w:r w:rsidR="00907772" w:rsidRPr="00B3563C">
        <w:rPr>
          <w:rFonts w:ascii="Times New Roman" w:hAnsi="Times New Roman"/>
          <w:color w:val="000000" w:themeColor="text1"/>
          <w:sz w:val="24"/>
          <w:szCs w:val="24"/>
          <w:lang w:eastAsia="lv-LV"/>
        </w:rPr>
        <w:t>,</w:t>
      </w:r>
      <w:r w:rsidRPr="00B3563C">
        <w:rPr>
          <w:rFonts w:ascii="Times New Roman" w:hAnsi="Times New Roman"/>
          <w:color w:val="000000" w:themeColor="text1"/>
          <w:sz w:val="24"/>
          <w:szCs w:val="24"/>
          <w:lang w:eastAsia="lv-LV"/>
        </w:rPr>
        <w:t xml:space="preserve"> izsoles nodrošinājums”.</w:t>
      </w:r>
      <w:r w:rsidRPr="00B3563C">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663481EB" w14:textId="4E8B729A" w:rsidR="003919E4"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49204A58" w14:textId="77777777" w:rsidR="00A95E7C" w:rsidRPr="00B3563C" w:rsidRDefault="00A95E7C" w:rsidP="00B3563C">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7B56D96D"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606F71">
        <w:rPr>
          <w:rFonts w:ascii="Times New Roman" w:hAnsi="Times New Roman"/>
          <w:b/>
          <w:bCs/>
          <w:color w:val="000000" w:themeColor="text1"/>
          <w:sz w:val="24"/>
          <w:szCs w:val="24"/>
        </w:rPr>
        <w:t>7</w:t>
      </w:r>
      <w:r w:rsidR="00C420DC">
        <w:rPr>
          <w:rFonts w:ascii="Times New Roman" w:hAnsi="Times New Roman"/>
          <w:b/>
          <w:bCs/>
          <w:color w:val="000000" w:themeColor="text1"/>
          <w:sz w:val="24"/>
          <w:szCs w:val="24"/>
        </w:rPr>
        <w:t>0</w:t>
      </w:r>
      <w:r w:rsidR="00DA3266" w:rsidRPr="0042604A">
        <w:rPr>
          <w:rFonts w:ascii="Times New Roman" w:hAnsi="Times New Roman"/>
          <w:b/>
          <w:color w:val="000000" w:themeColor="text1"/>
          <w:sz w:val="24"/>
          <w:szCs w:val="24"/>
        </w:rPr>
        <w:t xml:space="preserve">,00 </w:t>
      </w:r>
      <w:proofErr w:type="spellStart"/>
      <w:r w:rsidR="00DA3266" w:rsidRPr="0042604A">
        <w:rPr>
          <w:rFonts w:ascii="Times New Roman" w:hAnsi="Times New Roman"/>
          <w:b/>
          <w:i/>
          <w:color w:val="000000" w:themeColor="text1"/>
          <w:sz w:val="24"/>
          <w:szCs w:val="24"/>
        </w:rPr>
        <w:t>euro</w:t>
      </w:r>
      <w:proofErr w:type="spellEnd"/>
      <w:r w:rsidR="00DA3266" w:rsidRPr="0042604A">
        <w:rPr>
          <w:rFonts w:ascii="Times New Roman" w:hAnsi="Times New Roman"/>
          <w:color w:val="000000" w:themeColor="text1"/>
          <w:sz w:val="24"/>
          <w:szCs w:val="24"/>
        </w:rPr>
        <w:t xml:space="preserve"> (</w:t>
      </w:r>
      <w:r w:rsidR="00606F71">
        <w:rPr>
          <w:rFonts w:ascii="Times New Roman" w:hAnsi="Times New Roman"/>
          <w:color w:val="000000" w:themeColor="text1"/>
          <w:sz w:val="24"/>
          <w:szCs w:val="24"/>
        </w:rPr>
        <w:t>septiņdesmit</w:t>
      </w:r>
      <w:r w:rsidR="00C420DC">
        <w:rPr>
          <w:rFonts w:ascii="Times New Roman" w:hAnsi="Times New Roman"/>
          <w:color w:val="000000" w:themeColor="text1"/>
          <w:sz w:val="24"/>
          <w:szCs w:val="24"/>
        </w:rPr>
        <w:t xml:space="preserve"> </w:t>
      </w:r>
      <w:proofErr w:type="spellStart"/>
      <w:r w:rsidR="00DA3266" w:rsidRPr="006A42E3">
        <w:rPr>
          <w:rFonts w:ascii="Times New Roman" w:hAnsi="Times New Roman"/>
          <w:i/>
          <w:iCs/>
          <w:color w:val="000000" w:themeColor="text1"/>
          <w:sz w:val="24"/>
          <w:szCs w:val="24"/>
        </w:rPr>
        <w:t>euro</w:t>
      </w:r>
      <w:proofErr w:type="spellEnd"/>
      <w:r w:rsidR="00DA3266" w:rsidRPr="0042604A">
        <w:rPr>
          <w:rFonts w:ascii="Times New Roman" w:hAnsi="Times New Roman"/>
          <w:color w:val="000000" w:themeColor="text1"/>
          <w:sz w:val="24"/>
          <w:szCs w:val="24"/>
        </w:rPr>
        <w:t>)</w:t>
      </w:r>
      <w:r w:rsidR="0002226D">
        <w:rPr>
          <w:rFonts w:ascii="Times New Roman" w:hAnsi="Times New Roman"/>
          <w:color w:val="000000" w:themeColor="text1"/>
          <w:sz w:val="24"/>
          <w:szCs w:val="24"/>
        </w:rPr>
        <w:t xml:space="preserve"> </w:t>
      </w:r>
      <w:r w:rsidRPr="00CD5200">
        <w:rPr>
          <w:rFonts w:ascii="Times New Roman" w:eastAsia="Times New Roman" w:hAnsi="Times New Roman"/>
          <w:sz w:val="24"/>
          <w:szCs w:val="24"/>
        </w:rPr>
        <w:t>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w:t>
      </w:r>
      <w:r>
        <w:rPr>
          <w:rFonts w:ascii="Times New Roman" w:eastAsia="Times New Roman" w:hAnsi="Times New Roman"/>
          <w:sz w:val="24"/>
          <w:szCs w:val="24"/>
        </w:rPr>
        <w:lastRenderedPageBreak/>
        <w:t xml:space="preserve">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151F316E"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C420DC">
        <w:rPr>
          <w:rFonts w:ascii="Times New Roman" w:eastAsia="Times New Roman" w:hAnsi="Times New Roman"/>
          <w:sz w:val="24"/>
          <w:szCs w:val="24"/>
        </w:rPr>
        <w:t>6</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0A4641">
        <w:rPr>
          <w:rFonts w:ascii="Times New Roman" w:eastAsia="Times New Roman" w:hAnsi="Times New Roman"/>
          <w:sz w:val="24"/>
          <w:szCs w:val="24"/>
        </w:rPr>
        <w:t>1</w:t>
      </w:r>
      <w:r w:rsidR="00C420DC">
        <w:rPr>
          <w:rFonts w:ascii="Times New Roman" w:eastAsia="Times New Roman" w:hAnsi="Times New Roman"/>
          <w:sz w:val="24"/>
          <w:szCs w:val="24"/>
        </w:rPr>
        <w:t>6</w:t>
      </w:r>
      <w:r w:rsidRPr="00CD5200">
        <w:rPr>
          <w:rFonts w:ascii="Times New Roman" w:eastAsia="Times New Roman" w:hAnsi="Times New Roman"/>
          <w:sz w:val="24"/>
          <w:szCs w:val="24"/>
        </w:rPr>
        <w:t>.</w:t>
      </w:r>
      <w:r w:rsidR="00C420DC">
        <w:rPr>
          <w:rFonts w:ascii="Times New Roman" w:eastAsia="Times New Roman" w:hAnsi="Times New Roman"/>
          <w:sz w:val="24"/>
          <w:szCs w:val="24"/>
        </w:rPr>
        <w:t>janvārī</w:t>
      </w:r>
      <w:r w:rsidRPr="00CD5200">
        <w:rPr>
          <w:rFonts w:ascii="Times New Roman" w:eastAsia="Times New Roman" w:hAnsi="Times New Roman"/>
          <w:sz w:val="24"/>
          <w:szCs w:val="24"/>
        </w:rPr>
        <w:t xml:space="preserve"> plkst. 13:00 līdz 202</w:t>
      </w:r>
      <w:r w:rsidR="00A95E7C">
        <w:rPr>
          <w:rFonts w:ascii="Times New Roman" w:eastAsia="Times New Roman" w:hAnsi="Times New Roman"/>
          <w:sz w:val="24"/>
          <w:szCs w:val="24"/>
        </w:rPr>
        <w:t>6</w:t>
      </w:r>
      <w:r w:rsidRPr="00CD5200">
        <w:rPr>
          <w:rFonts w:ascii="Times New Roman" w:eastAsia="Times New Roman" w:hAnsi="Times New Roman"/>
          <w:sz w:val="24"/>
          <w:szCs w:val="24"/>
        </w:rPr>
        <w:t xml:space="preserve">.gada </w:t>
      </w:r>
      <w:r w:rsidR="00C420DC">
        <w:rPr>
          <w:rFonts w:ascii="Times New Roman" w:eastAsia="Times New Roman" w:hAnsi="Times New Roman"/>
          <w:sz w:val="24"/>
          <w:szCs w:val="24"/>
        </w:rPr>
        <w:t>05</w:t>
      </w:r>
      <w:r w:rsidRPr="00CD5200">
        <w:rPr>
          <w:rFonts w:ascii="Times New Roman" w:eastAsia="Times New Roman" w:hAnsi="Times New Roman"/>
          <w:sz w:val="24"/>
          <w:szCs w:val="24"/>
        </w:rPr>
        <w:t>.</w:t>
      </w:r>
      <w:r w:rsidR="00C420DC">
        <w:rPr>
          <w:rFonts w:ascii="Times New Roman" w:eastAsia="Times New Roman" w:hAnsi="Times New Roman"/>
          <w:sz w:val="24"/>
          <w:szCs w:val="24"/>
        </w:rPr>
        <w:t>februāra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486E7605"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C420DC">
        <w:rPr>
          <w:rFonts w:ascii="Times New Roman" w:hAnsi="Times New Roman"/>
          <w:b/>
          <w:sz w:val="24"/>
          <w:szCs w:val="24"/>
        </w:rPr>
        <w:t>6</w:t>
      </w:r>
      <w:r w:rsidRPr="00CD5200">
        <w:rPr>
          <w:rFonts w:ascii="Times New Roman" w:hAnsi="Times New Roman"/>
          <w:b/>
          <w:sz w:val="24"/>
          <w:szCs w:val="24"/>
        </w:rPr>
        <w:t xml:space="preserve">.gada </w:t>
      </w:r>
      <w:r w:rsidR="000A4641">
        <w:rPr>
          <w:rFonts w:ascii="Times New Roman" w:hAnsi="Times New Roman"/>
          <w:b/>
          <w:sz w:val="24"/>
          <w:szCs w:val="24"/>
        </w:rPr>
        <w:t>1</w:t>
      </w:r>
      <w:r w:rsidR="00C420DC">
        <w:rPr>
          <w:rFonts w:ascii="Times New Roman" w:hAnsi="Times New Roman"/>
          <w:b/>
          <w:sz w:val="24"/>
          <w:szCs w:val="24"/>
        </w:rPr>
        <w:t>6</w:t>
      </w:r>
      <w:r w:rsidRPr="00CD5200">
        <w:rPr>
          <w:rFonts w:ascii="Times New Roman" w:hAnsi="Times New Roman"/>
          <w:b/>
          <w:sz w:val="24"/>
          <w:szCs w:val="24"/>
        </w:rPr>
        <w:t>.</w:t>
      </w:r>
      <w:r w:rsidR="00C420DC">
        <w:rPr>
          <w:rFonts w:ascii="Times New Roman" w:hAnsi="Times New Roman"/>
          <w:b/>
          <w:sz w:val="24"/>
          <w:szCs w:val="24"/>
        </w:rPr>
        <w:t xml:space="preserve">janvāra </w:t>
      </w:r>
      <w:r w:rsidRPr="00CD5200">
        <w:rPr>
          <w:rFonts w:ascii="Times New Roman" w:hAnsi="Times New Roman"/>
          <w:b/>
          <w:sz w:val="24"/>
          <w:szCs w:val="24"/>
        </w:rPr>
        <w:t>plkst. 13:00 līdz 202</w:t>
      </w:r>
      <w:r w:rsidR="00A95E7C">
        <w:rPr>
          <w:rFonts w:ascii="Times New Roman" w:hAnsi="Times New Roman"/>
          <w:b/>
          <w:sz w:val="24"/>
          <w:szCs w:val="24"/>
        </w:rPr>
        <w:t>6</w:t>
      </w:r>
      <w:r w:rsidRPr="00CD5200">
        <w:rPr>
          <w:rFonts w:ascii="Times New Roman" w:hAnsi="Times New Roman"/>
          <w:b/>
          <w:sz w:val="24"/>
          <w:szCs w:val="24"/>
        </w:rPr>
        <w:t xml:space="preserve">.gada </w:t>
      </w:r>
      <w:r w:rsidR="00C420DC">
        <w:rPr>
          <w:rFonts w:ascii="Times New Roman" w:hAnsi="Times New Roman"/>
          <w:b/>
          <w:sz w:val="24"/>
          <w:szCs w:val="24"/>
        </w:rPr>
        <w:t>16</w:t>
      </w:r>
      <w:r w:rsidRPr="00CD5200">
        <w:rPr>
          <w:rFonts w:ascii="Times New Roman" w:hAnsi="Times New Roman"/>
          <w:b/>
          <w:sz w:val="24"/>
          <w:szCs w:val="24"/>
        </w:rPr>
        <w:t>.</w:t>
      </w:r>
      <w:r w:rsidR="00C420DC">
        <w:rPr>
          <w:rFonts w:ascii="Times New Roman" w:hAnsi="Times New Roman"/>
          <w:b/>
          <w:sz w:val="24"/>
          <w:szCs w:val="24"/>
        </w:rPr>
        <w:t>februāra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D207A6">
      <w:pgSz w:w="11906" w:h="16838"/>
      <w:pgMar w:top="1135"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2226D"/>
    <w:rsid w:val="000375D3"/>
    <w:rsid w:val="00090C60"/>
    <w:rsid w:val="0009673A"/>
    <w:rsid w:val="000A4641"/>
    <w:rsid w:val="00111E07"/>
    <w:rsid w:val="00172FE1"/>
    <w:rsid w:val="0019740E"/>
    <w:rsid w:val="001B2D92"/>
    <w:rsid w:val="001C6A0D"/>
    <w:rsid w:val="001D1F5F"/>
    <w:rsid w:val="001F504F"/>
    <w:rsid w:val="00270626"/>
    <w:rsid w:val="002C18FB"/>
    <w:rsid w:val="002C5CD4"/>
    <w:rsid w:val="003142F9"/>
    <w:rsid w:val="0032552D"/>
    <w:rsid w:val="00387CE2"/>
    <w:rsid w:val="003919E4"/>
    <w:rsid w:val="003E426E"/>
    <w:rsid w:val="00401D8C"/>
    <w:rsid w:val="00403F83"/>
    <w:rsid w:val="00413DF4"/>
    <w:rsid w:val="00424790"/>
    <w:rsid w:val="0042604A"/>
    <w:rsid w:val="00443045"/>
    <w:rsid w:val="00471FF6"/>
    <w:rsid w:val="004A06FC"/>
    <w:rsid w:val="004F5101"/>
    <w:rsid w:val="00535D6C"/>
    <w:rsid w:val="00537DB9"/>
    <w:rsid w:val="00547CF2"/>
    <w:rsid w:val="0057069A"/>
    <w:rsid w:val="005A2089"/>
    <w:rsid w:val="005C45A3"/>
    <w:rsid w:val="005D0CE4"/>
    <w:rsid w:val="005E272C"/>
    <w:rsid w:val="0060206D"/>
    <w:rsid w:val="00606F71"/>
    <w:rsid w:val="00634F51"/>
    <w:rsid w:val="00643DAC"/>
    <w:rsid w:val="00665217"/>
    <w:rsid w:val="00673325"/>
    <w:rsid w:val="006A42E3"/>
    <w:rsid w:val="006C26FD"/>
    <w:rsid w:val="006C7D6D"/>
    <w:rsid w:val="006E2A73"/>
    <w:rsid w:val="0071343C"/>
    <w:rsid w:val="00785E56"/>
    <w:rsid w:val="007941BD"/>
    <w:rsid w:val="007B290F"/>
    <w:rsid w:val="007E082A"/>
    <w:rsid w:val="00842356"/>
    <w:rsid w:val="00892D94"/>
    <w:rsid w:val="008A7EFC"/>
    <w:rsid w:val="008B4B52"/>
    <w:rsid w:val="008D7B5D"/>
    <w:rsid w:val="008E3A8E"/>
    <w:rsid w:val="008F7171"/>
    <w:rsid w:val="00907772"/>
    <w:rsid w:val="009321C7"/>
    <w:rsid w:val="00951EA2"/>
    <w:rsid w:val="00972055"/>
    <w:rsid w:val="00984B51"/>
    <w:rsid w:val="00993D42"/>
    <w:rsid w:val="009A1D31"/>
    <w:rsid w:val="009B2168"/>
    <w:rsid w:val="00A127ED"/>
    <w:rsid w:val="00A67987"/>
    <w:rsid w:val="00A86805"/>
    <w:rsid w:val="00A95E7C"/>
    <w:rsid w:val="00AD1674"/>
    <w:rsid w:val="00B21116"/>
    <w:rsid w:val="00B3563C"/>
    <w:rsid w:val="00B43CEC"/>
    <w:rsid w:val="00B6513B"/>
    <w:rsid w:val="00B70498"/>
    <w:rsid w:val="00BD4D48"/>
    <w:rsid w:val="00BE400D"/>
    <w:rsid w:val="00C22365"/>
    <w:rsid w:val="00C374E7"/>
    <w:rsid w:val="00C420DC"/>
    <w:rsid w:val="00C844D7"/>
    <w:rsid w:val="00C9726F"/>
    <w:rsid w:val="00CB2585"/>
    <w:rsid w:val="00CC2116"/>
    <w:rsid w:val="00CD5200"/>
    <w:rsid w:val="00D207A6"/>
    <w:rsid w:val="00D66D43"/>
    <w:rsid w:val="00DA3266"/>
    <w:rsid w:val="00DB4CC3"/>
    <w:rsid w:val="00DB7CB3"/>
    <w:rsid w:val="00DC11F7"/>
    <w:rsid w:val="00DD370A"/>
    <w:rsid w:val="00E35F43"/>
    <w:rsid w:val="00E3693D"/>
    <w:rsid w:val="00E37C4E"/>
    <w:rsid w:val="00EB648E"/>
    <w:rsid w:val="00EE0B81"/>
    <w:rsid w:val="00F51665"/>
    <w:rsid w:val="00F53C46"/>
    <w:rsid w:val="00FA39BE"/>
    <w:rsid w:val="00FA65C3"/>
    <w:rsid w:val="00FC7B51"/>
    <w:rsid w:val="00FF1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7359</Words>
  <Characters>4195</Characters>
  <Application>Microsoft Office Word</Application>
  <DocSecurity>0</DocSecurity>
  <Lines>34</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cp:revision>
  <cp:lastPrinted>2026-01-05T12:11:00Z</cp:lastPrinted>
  <dcterms:created xsi:type="dcterms:W3CDTF">2026-01-05T12:11:00Z</dcterms:created>
  <dcterms:modified xsi:type="dcterms:W3CDTF">2026-01-05T12:11:00Z</dcterms:modified>
</cp:coreProperties>
</file>